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C" w:rsidRPr="00C80F5C" w:rsidRDefault="001B2E5A" w:rsidP="00BB6018">
      <w:pPr>
        <w:jc w:val="center"/>
        <w:rPr>
          <w:rFonts w:ascii="方正黑体_GBK" w:eastAsia="方正黑体_GBK"/>
          <w:b/>
          <w:sz w:val="36"/>
        </w:rPr>
      </w:pPr>
      <w:r w:rsidRPr="00C80F5C">
        <w:rPr>
          <w:rFonts w:ascii="方正黑体_GBK" w:eastAsia="方正黑体_GBK" w:hint="eastAsia"/>
          <w:b/>
          <w:sz w:val="36"/>
        </w:rPr>
        <w:t>国网上海市电力公司202</w:t>
      </w:r>
      <w:r w:rsidR="00C80F5C" w:rsidRPr="00C80F5C">
        <w:rPr>
          <w:rFonts w:ascii="方正黑体_GBK" w:eastAsia="方正黑体_GBK" w:hint="eastAsia"/>
          <w:b/>
          <w:sz w:val="36"/>
        </w:rPr>
        <w:t>2年高校毕业生</w:t>
      </w:r>
    </w:p>
    <w:p w:rsidR="00BB6018" w:rsidRPr="00C80F5C" w:rsidRDefault="00C80F5C" w:rsidP="00BB6018">
      <w:pPr>
        <w:jc w:val="center"/>
        <w:rPr>
          <w:rFonts w:ascii="方正黑体_GBK" w:eastAsia="方正黑体_GBK"/>
          <w:b/>
          <w:sz w:val="36"/>
        </w:rPr>
      </w:pPr>
      <w:r w:rsidRPr="00C80F5C">
        <w:rPr>
          <w:rFonts w:ascii="方正黑体_GBK" w:eastAsia="方正黑体_GBK" w:hint="eastAsia"/>
          <w:b/>
          <w:sz w:val="36"/>
        </w:rPr>
        <w:t>招聘公告</w:t>
      </w:r>
    </w:p>
    <w:p w:rsidR="00C80F5C" w:rsidRDefault="00C80F5C" w:rsidP="009F5D59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80F5C" w:rsidRPr="00C80F5C" w:rsidRDefault="00C80F5C" w:rsidP="009F5D59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80F5C">
        <w:rPr>
          <w:rFonts w:ascii="黑体" w:eastAsia="黑体" w:hAnsi="黑体" w:hint="eastAsia"/>
          <w:b/>
          <w:sz w:val="32"/>
          <w:szCs w:val="32"/>
        </w:rPr>
        <w:t>一、公司简介</w:t>
      </w:r>
    </w:p>
    <w:p w:rsidR="00C80F5C" w:rsidRPr="00DA0BAF" w:rsidRDefault="00C80F5C" w:rsidP="00C80F5C">
      <w:pPr>
        <w:spacing w:line="640" w:lineRule="exact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 </w:t>
      </w:r>
      <w:r w:rsidRPr="005953B1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国网上海市电力公司（以下简称“公司”）系国家电网有限公司（以下简称“国网公司”）全资子公司，是经授权的一级法人单位。公司作为从事电力输、配、售的国有特大型电力企业，肩负着上海电网规划、建设、运行、管理6340.5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平方公里的供电服务区域</w:t>
      </w:r>
      <w:r w:rsidRPr="005953B1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,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客户数</w:t>
      </w:r>
      <w:r w:rsidRPr="005953B1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已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超过1088</w:t>
      </w:r>
      <w:r w:rsidRPr="005953B1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万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户，五年增长8.75%</w:t>
      </w:r>
      <w:r w:rsidRPr="005953B1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C80F5C" w:rsidRDefault="00C80F5C" w:rsidP="00C80F5C">
      <w:pPr>
        <w:spacing w:line="64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F53A0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截止2020年底，公司连续6年保持企业负责人业绩考核A级，连续20年保持市政风行风和12345热线绩效考核第一。2020年，公司完成售电量1355.69亿千瓦时，营业收入844.61亿元。资产总额1668.5亿元。全口径供电可靠率99.9923%，中心城区达到99.9991%。</w:t>
      </w:r>
    </w:p>
    <w:p w:rsidR="00C80F5C" w:rsidRPr="00DA0BAF" w:rsidRDefault="00C80F5C" w:rsidP="00C80F5C">
      <w:pPr>
        <w:spacing w:line="640" w:lineRule="exact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 </w:t>
      </w:r>
      <w:r w:rsidRPr="00DA0BA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上海地理位置优越，海陆交通便利，位于</w:t>
      </w:r>
      <w:r w:rsidRPr="00DA0BAF">
        <w:rPr>
          <w:rFonts w:ascii="仿宋" w:eastAsia="仿宋" w:hAnsi="仿宋" w:cs="Times New Roman"/>
          <w:bCs/>
          <w:color w:val="000000"/>
          <w:sz w:val="32"/>
          <w:szCs w:val="32"/>
        </w:rPr>
        <w:t>中国南</w:t>
      </w:r>
      <w:r w:rsidRPr="00DA0BA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北海岸中心点、长江三角洲前沿，西接江苏和浙江两省，下辖16个行政区。经济密度高、产业结构优，土地面积仅占全国0.06%，20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20</w:t>
      </w:r>
      <w:r w:rsidRPr="00DA0BA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年生产总值（GDP）达</w:t>
      </w:r>
      <w:r w:rsidRPr="00DA0BAF">
        <w:rPr>
          <w:rFonts w:ascii="仿宋" w:eastAsia="仿宋" w:hAnsi="仿宋" w:cs="Times New Roman"/>
          <w:bCs/>
          <w:color w:val="000000"/>
          <w:sz w:val="32"/>
          <w:szCs w:val="32"/>
        </w:rPr>
        <w:t>38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700.58亿元</w:t>
      </w:r>
      <w:r w:rsidRPr="00DA0BA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，居全国城市首位；人均GDP达</w:t>
      </w:r>
      <w:r w:rsidRPr="00DA0BAF">
        <w:rPr>
          <w:rFonts w:ascii="仿宋" w:eastAsia="仿宋" w:hAnsi="仿宋" w:cs="Times New Roman"/>
          <w:bCs/>
          <w:color w:val="000000"/>
          <w:sz w:val="32"/>
          <w:szCs w:val="32"/>
        </w:rPr>
        <w:t>15.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94</w:t>
      </w:r>
      <w:r w:rsidRPr="00DA0BAF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万元；</w:t>
      </w:r>
      <w:r w:rsidRPr="0021466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第三产业增加值</w:t>
      </w:r>
      <w:r w:rsidRPr="0021466A">
        <w:rPr>
          <w:rFonts w:ascii="仿宋" w:eastAsia="仿宋" w:hAnsi="仿宋" w:cs="Times New Roman"/>
          <w:bCs/>
          <w:color w:val="000000"/>
          <w:sz w:val="32"/>
          <w:szCs w:val="32"/>
        </w:rPr>
        <w:t>7</w:t>
      </w:r>
      <w:r w:rsidRPr="0021466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3.1</w:t>
      </w:r>
      <w:r w:rsidRPr="0021466A">
        <w:rPr>
          <w:rFonts w:ascii="仿宋" w:eastAsia="仿宋" w:hAnsi="仿宋" w:cs="Times New Roman"/>
          <w:bCs/>
          <w:color w:val="000000"/>
          <w:sz w:val="32"/>
          <w:szCs w:val="32"/>
        </w:rPr>
        <w:t>%</w:t>
      </w:r>
      <w:r w:rsidRPr="0021466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C80F5C" w:rsidRPr="00C80F5C" w:rsidRDefault="00C80F5C" w:rsidP="00C80F5C">
      <w:pPr>
        <w:spacing w:line="640" w:lineRule="exact"/>
        <w:ind w:firstLineChars="200" w:firstLine="640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C80F5C" w:rsidRPr="00C80F5C" w:rsidRDefault="00C80F5C" w:rsidP="00C80F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二</w:t>
      </w:r>
      <w:r w:rsidRPr="00C80F5C">
        <w:rPr>
          <w:rFonts w:ascii="黑体" w:eastAsia="黑体" w:hAnsi="黑体" w:hint="eastAsia"/>
          <w:b/>
          <w:sz w:val="32"/>
          <w:szCs w:val="32"/>
        </w:rPr>
        <w:t>、</w:t>
      </w:r>
      <w:r w:rsidR="00CE34E0" w:rsidRPr="00CE34E0">
        <w:rPr>
          <w:rFonts w:ascii="黑体" w:eastAsia="黑体" w:hAnsi="黑体" w:hint="eastAsia"/>
          <w:b/>
          <w:sz w:val="32"/>
          <w:szCs w:val="32"/>
        </w:rPr>
        <w:t>招聘需求</w:t>
      </w:r>
    </w:p>
    <w:p w:rsidR="00CE34E0" w:rsidRDefault="00CE34E0" w:rsidP="00CE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预计面向全国招聘2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2年高校毕业生约400人，</w:t>
      </w:r>
      <w:r>
        <w:rPr>
          <w:rFonts w:ascii="仿宋_GB2312" w:eastAsia="仿宋_GB2312"/>
          <w:sz w:val="32"/>
          <w:szCs w:val="32"/>
        </w:rPr>
        <w:t>具体人数以国网公司批复为准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a"/>
        <w:tblW w:w="9180" w:type="dxa"/>
        <w:tblLook w:val="04A0"/>
      </w:tblPr>
      <w:tblGrid>
        <w:gridCol w:w="817"/>
        <w:gridCol w:w="1134"/>
        <w:gridCol w:w="5812"/>
        <w:gridCol w:w="1417"/>
      </w:tblGrid>
      <w:tr w:rsidR="00CE34E0" w:rsidTr="008C1450">
        <w:tc>
          <w:tcPr>
            <w:tcW w:w="817" w:type="dxa"/>
          </w:tcPr>
          <w:p w:rsidR="00CE34E0" w:rsidRPr="00DA7926" w:rsidRDefault="00CE34E0" w:rsidP="008C14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5812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17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人数</w:t>
            </w:r>
          </w:p>
        </w:tc>
      </w:tr>
      <w:tr w:rsidR="00CE34E0" w:rsidTr="008C1450">
        <w:tc>
          <w:tcPr>
            <w:tcW w:w="817" w:type="dxa"/>
          </w:tcPr>
          <w:p w:rsidR="00CE34E0" w:rsidRPr="00DA7926" w:rsidRDefault="00CE34E0" w:rsidP="008C14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5812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电气工程及其自动化</w:t>
            </w:r>
          </w:p>
        </w:tc>
        <w:tc>
          <w:tcPr>
            <w:tcW w:w="1417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约140</w:t>
            </w:r>
            <w:r>
              <w:rPr>
                <w:rFonts w:ascii="仿宋_GB2312" w:eastAsia="仿宋_GB2312"/>
                <w:sz w:val="28"/>
                <w:szCs w:val="28"/>
              </w:rPr>
              <w:t>人</w:t>
            </w:r>
          </w:p>
        </w:tc>
      </w:tr>
      <w:tr w:rsidR="00CE34E0" w:rsidTr="008C1450">
        <w:tc>
          <w:tcPr>
            <w:tcW w:w="817" w:type="dxa"/>
          </w:tcPr>
          <w:p w:rsidR="00CE34E0" w:rsidRPr="00DA7926" w:rsidRDefault="00CE34E0" w:rsidP="008C14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5812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电气工程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</w:t>
            </w:r>
          </w:p>
        </w:tc>
        <w:tc>
          <w:tcPr>
            <w:tcW w:w="1417" w:type="dxa"/>
          </w:tcPr>
          <w:p w:rsidR="00CE34E0" w:rsidRPr="00DA7926" w:rsidRDefault="00CE34E0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约</w:t>
            </w:r>
            <w:r>
              <w:rPr>
                <w:rFonts w:ascii="仿宋_GB2312" w:eastAsia="仿宋_GB2312" w:hint="eastAsia"/>
                <w:sz w:val="28"/>
                <w:szCs w:val="28"/>
              </w:rPr>
              <w:t>140</w:t>
            </w:r>
            <w:r>
              <w:rPr>
                <w:rFonts w:ascii="仿宋_GB2312" w:eastAsia="仿宋_GB2312"/>
                <w:sz w:val="28"/>
                <w:szCs w:val="28"/>
              </w:rPr>
              <w:t>人</w:t>
            </w:r>
          </w:p>
        </w:tc>
      </w:tr>
      <w:tr w:rsidR="00540F75" w:rsidTr="008C1450">
        <w:tc>
          <w:tcPr>
            <w:tcW w:w="817" w:type="dxa"/>
          </w:tcPr>
          <w:p w:rsidR="00540F75" w:rsidRPr="00DA7926" w:rsidRDefault="00540F75" w:rsidP="008C14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0F75" w:rsidRPr="00DA7926" w:rsidRDefault="00540F75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 w:rsidR="00922265"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5812" w:type="dxa"/>
          </w:tcPr>
          <w:p w:rsidR="00540F75" w:rsidRDefault="00540F75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通信类、计算机类（</w:t>
            </w:r>
            <w:r w:rsidR="00922265"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定向录用至信通公司数据中心）</w:t>
            </w:r>
          </w:p>
        </w:tc>
        <w:tc>
          <w:tcPr>
            <w:tcW w:w="1417" w:type="dxa"/>
          </w:tcPr>
          <w:p w:rsidR="00540F75" w:rsidRDefault="00540F75" w:rsidP="0092226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约</w:t>
            </w:r>
            <w:r w:rsidR="00922265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0人</w:t>
            </w:r>
          </w:p>
        </w:tc>
      </w:tr>
      <w:tr w:rsidR="00540F75" w:rsidTr="008C1450">
        <w:trPr>
          <w:trHeight w:val="1174"/>
        </w:trPr>
        <w:tc>
          <w:tcPr>
            <w:tcW w:w="817" w:type="dxa"/>
          </w:tcPr>
          <w:p w:rsidR="00540F75" w:rsidRDefault="00540F75" w:rsidP="008C14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0F75" w:rsidRPr="00DA7926" w:rsidRDefault="00540F75" w:rsidP="008C1450">
            <w:pPr>
              <w:rPr>
                <w:rFonts w:ascii="仿宋_GB2312" w:eastAsia="仿宋_GB2312"/>
                <w:sz w:val="28"/>
                <w:szCs w:val="28"/>
              </w:rPr>
            </w:pPr>
            <w:r w:rsidRPr="00DA7926">
              <w:rPr>
                <w:rFonts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5812" w:type="dxa"/>
          </w:tcPr>
          <w:p w:rsidR="00540F75" w:rsidRPr="001278AA" w:rsidRDefault="00540F75" w:rsidP="00CE34E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非电气工程类（土木、建筑等其他工学类、财会类等专业）</w:t>
            </w:r>
          </w:p>
        </w:tc>
        <w:tc>
          <w:tcPr>
            <w:tcW w:w="1417" w:type="dxa"/>
          </w:tcPr>
          <w:p w:rsidR="00540F75" w:rsidRDefault="00540F75" w:rsidP="008C14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约80人</w:t>
            </w:r>
          </w:p>
        </w:tc>
      </w:tr>
    </w:tbl>
    <w:p w:rsidR="00C80F5C" w:rsidRPr="00C35882" w:rsidRDefault="00CE34E0" w:rsidP="00CE34E0">
      <w:pPr>
        <w:spacing w:line="6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  <w:r w:rsidR="00C80F5C" w:rsidRPr="00C35882">
        <w:rPr>
          <w:rFonts w:ascii="黑体" w:eastAsia="黑体" w:hAnsi="黑体" w:hint="eastAsia"/>
          <w:b/>
          <w:sz w:val="32"/>
          <w:szCs w:val="32"/>
        </w:rPr>
        <w:t>三、应聘流程</w:t>
      </w:r>
    </w:p>
    <w:p w:rsidR="00CE34E0" w:rsidRDefault="00CE34E0" w:rsidP="00CE34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366EA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招聘全过程均须</w:t>
      </w:r>
      <w:r w:rsidRPr="009366EA">
        <w:rPr>
          <w:rFonts w:ascii="仿宋_GB2312" w:eastAsia="仿宋_GB2312" w:hint="eastAsia"/>
          <w:sz w:val="32"/>
          <w:szCs w:val="32"/>
        </w:rPr>
        <w:t>在国</w:t>
      </w:r>
      <w:r>
        <w:rPr>
          <w:rFonts w:ascii="仿宋_GB2312" w:eastAsia="仿宋_GB2312" w:hint="eastAsia"/>
          <w:sz w:val="32"/>
          <w:szCs w:val="32"/>
        </w:rPr>
        <w:t>网公司人力资源招聘平台完成，</w:t>
      </w:r>
      <w:r w:rsidRPr="009366EA">
        <w:rPr>
          <w:rFonts w:ascii="仿宋_GB2312" w:eastAsia="仿宋_GB2312" w:hint="eastAsia"/>
          <w:sz w:val="32"/>
          <w:szCs w:val="32"/>
        </w:rPr>
        <w:t>网址：</w:t>
      </w:r>
      <w:r>
        <w:rPr>
          <w:rFonts w:ascii="仿宋_GB2312" w:eastAsia="仿宋_GB2312" w:hint="eastAsia"/>
          <w:sz w:val="32"/>
          <w:szCs w:val="32"/>
        </w:rPr>
        <w:t>https：//zhaopin</w:t>
      </w:r>
      <w:r w:rsidRPr="009366EA">
        <w:rPr>
          <w:rFonts w:ascii="仿宋_GB2312" w:eastAsia="仿宋_GB2312" w:hint="eastAsia"/>
          <w:sz w:val="32"/>
          <w:szCs w:val="32"/>
        </w:rPr>
        <w:t>.sgcc.com.cn</w:t>
      </w:r>
      <w:r>
        <w:rPr>
          <w:rFonts w:ascii="仿宋_GB2312" w:eastAsia="仿宋_GB2312" w:hint="eastAsia"/>
          <w:sz w:val="32"/>
          <w:szCs w:val="32"/>
        </w:rPr>
        <w:t>。</w:t>
      </w:r>
      <w:r w:rsidRPr="009366EA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366EA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招聘平台</w:t>
      </w:r>
      <w:r w:rsidRPr="009366EA">
        <w:rPr>
          <w:rFonts w:ascii="仿宋_GB2312" w:eastAsia="仿宋_GB2312" w:hint="eastAsia"/>
          <w:sz w:val="32"/>
          <w:szCs w:val="32"/>
        </w:rPr>
        <w:t>报名时间：</w:t>
      </w:r>
      <w:r>
        <w:rPr>
          <w:rFonts w:ascii="仿宋_GB2312" w:eastAsia="仿宋_GB2312" w:hint="eastAsia"/>
          <w:sz w:val="32"/>
          <w:szCs w:val="32"/>
        </w:rPr>
        <w:t>预计10月下旬至</w:t>
      </w:r>
      <w:r w:rsidRPr="009366E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 w:rsidRPr="009366E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上</w:t>
      </w:r>
      <w:r w:rsidRPr="009366EA">
        <w:rPr>
          <w:rFonts w:ascii="仿宋_GB2312" w:eastAsia="仿宋_GB2312" w:hint="eastAsia"/>
          <w:sz w:val="32"/>
          <w:szCs w:val="32"/>
        </w:rPr>
        <w:t>旬，</w:t>
      </w:r>
      <w:r>
        <w:rPr>
          <w:rFonts w:ascii="仿宋_GB2312" w:eastAsia="仿宋_GB2312" w:hint="eastAsia"/>
          <w:sz w:val="32"/>
          <w:szCs w:val="32"/>
        </w:rPr>
        <w:t>国网公司</w:t>
      </w:r>
      <w:r w:rsidRPr="009366EA">
        <w:rPr>
          <w:rFonts w:ascii="仿宋_GB2312" w:eastAsia="仿宋_GB2312" w:hint="eastAsia"/>
          <w:sz w:val="32"/>
          <w:szCs w:val="32"/>
        </w:rPr>
        <w:t>招聘平台开放报名，接</w:t>
      </w:r>
      <w:r>
        <w:rPr>
          <w:rFonts w:ascii="仿宋_GB2312" w:eastAsia="仿宋_GB2312" w:hint="eastAsia"/>
          <w:sz w:val="32"/>
          <w:szCs w:val="32"/>
        </w:rPr>
        <w:t>受学生填报志愿，为期半个月左右，逾期平台关闭，不接受报名。</w:t>
      </w:r>
      <w:r w:rsidRPr="009366EA">
        <w:rPr>
          <w:rFonts w:ascii="仿宋_GB2312" w:eastAsia="仿宋_GB2312" w:hint="eastAsia"/>
          <w:sz w:val="32"/>
          <w:szCs w:val="32"/>
        </w:rPr>
        <w:t>报名并填报志愿，以免后期网络拥堵。</w:t>
      </w:r>
      <w:r w:rsidRPr="009366EA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366EA">
        <w:rPr>
          <w:rFonts w:ascii="仿宋_GB2312" w:eastAsia="仿宋_GB2312" w:hint="eastAsia"/>
          <w:sz w:val="32"/>
          <w:szCs w:val="32"/>
        </w:rPr>
        <w:t>3.招聘专业和招聘人数会根据国网公司下达的计划批复为准，上述各专业招聘计划人数仅供参考，详见</w:t>
      </w:r>
      <w:r>
        <w:rPr>
          <w:rFonts w:ascii="仿宋_GB2312" w:eastAsia="仿宋_GB2312" w:hint="eastAsia"/>
          <w:sz w:val="32"/>
          <w:szCs w:val="32"/>
        </w:rPr>
        <w:t>公司后期发布在国网公司人力资源招聘平台上的招聘公告为准。</w:t>
      </w:r>
    </w:p>
    <w:p w:rsidR="00CE34E0" w:rsidRDefault="00CE34E0" w:rsidP="00CE34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366EA">
        <w:rPr>
          <w:rFonts w:ascii="仿宋_GB2312" w:eastAsia="仿宋_GB2312" w:hint="eastAsia"/>
          <w:sz w:val="32"/>
          <w:szCs w:val="32"/>
        </w:rPr>
        <w:t>4.国网公司招聘统一笔试每年两次，一般为每年的12月上旬和次年的</w:t>
      </w:r>
      <w:r>
        <w:rPr>
          <w:rFonts w:ascii="仿宋_GB2312" w:eastAsia="仿宋_GB2312" w:hint="eastAsia"/>
          <w:sz w:val="32"/>
          <w:szCs w:val="32"/>
        </w:rPr>
        <w:t>4月上旬，具体时间以平台网站公告为准。</w:t>
      </w:r>
    </w:p>
    <w:p w:rsidR="008C098B" w:rsidRPr="009366EA" w:rsidRDefault="008C098B" w:rsidP="00CE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最后，我们热情地期待青年</w:t>
      </w:r>
      <w:r w:rsidR="00367FE3">
        <w:rPr>
          <w:rFonts w:ascii="仿宋_GB2312" w:eastAsia="仿宋_GB2312" w:hint="eastAsia"/>
          <w:sz w:val="32"/>
          <w:szCs w:val="32"/>
        </w:rPr>
        <w:t>英才</w:t>
      </w:r>
      <w:r>
        <w:rPr>
          <w:rFonts w:ascii="仿宋_GB2312" w:eastAsia="仿宋_GB2312" w:hint="eastAsia"/>
          <w:sz w:val="32"/>
          <w:szCs w:val="32"/>
        </w:rPr>
        <w:t>加盟国网上海市电力公司，为上海这座社会主义</w:t>
      </w:r>
      <w:r w:rsidRPr="009366EA">
        <w:rPr>
          <w:rFonts w:ascii="仿宋_GB2312" w:eastAsia="仿宋_GB2312" w:hint="eastAsia"/>
          <w:sz w:val="32"/>
          <w:szCs w:val="32"/>
        </w:rPr>
        <w:t>现代化国际大都市提供更安全、更经济、更清洁、可持续的电力能源</w:t>
      </w:r>
      <w:r>
        <w:rPr>
          <w:rFonts w:ascii="仿宋_GB2312" w:eastAsia="仿宋_GB2312" w:hint="eastAsia"/>
          <w:sz w:val="32"/>
          <w:szCs w:val="32"/>
        </w:rPr>
        <w:t>，为加快建设具有中国特色国际领先的能源互联网企业</w:t>
      </w:r>
      <w:r w:rsidRPr="009366EA">
        <w:rPr>
          <w:rFonts w:ascii="仿宋_GB2312" w:eastAsia="仿宋_GB2312" w:hint="eastAsia"/>
          <w:sz w:val="32"/>
          <w:szCs w:val="32"/>
        </w:rPr>
        <w:t>贡献你们的青春和才华。</w:t>
      </w:r>
    </w:p>
    <w:p w:rsidR="00141CFE" w:rsidRDefault="00141CFE" w:rsidP="009366EA">
      <w:pPr>
        <w:rPr>
          <w:rFonts w:ascii="仿宋_GB2312" w:eastAsia="仿宋_GB2312"/>
          <w:b/>
          <w:sz w:val="32"/>
          <w:szCs w:val="32"/>
        </w:rPr>
      </w:pPr>
    </w:p>
    <w:sectPr w:rsidR="00141CFE" w:rsidSect="001278AA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FA" w:rsidRDefault="007944FA" w:rsidP="009366EA">
      <w:r>
        <w:separator/>
      </w:r>
    </w:p>
  </w:endnote>
  <w:endnote w:type="continuationSeparator" w:id="1">
    <w:p w:rsidR="007944FA" w:rsidRDefault="007944FA" w:rsidP="0093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23625"/>
      <w:docPartObj>
        <w:docPartGallery w:val="Page Numbers (Bottom of Page)"/>
        <w:docPartUnique/>
      </w:docPartObj>
    </w:sdtPr>
    <w:sdtContent>
      <w:p w:rsidR="009366EA" w:rsidRDefault="00A9483E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 w:rsidR="008C06B9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93E5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366EA" w:rsidRDefault="009366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FA" w:rsidRDefault="007944FA" w:rsidP="009366EA">
      <w:r>
        <w:separator/>
      </w:r>
    </w:p>
  </w:footnote>
  <w:footnote w:type="continuationSeparator" w:id="1">
    <w:p w:rsidR="007944FA" w:rsidRDefault="007944FA" w:rsidP="0093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6215"/>
    <w:multiLevelType w:val="hybridMultilevel"/>
    <w:tmpl w:val="0B3C80AE"/>
    <w:lvl w:ilvl="0" w:tplc="C27C9808">
      <w:start w:val="1"/>
      <w:numFmt w:val="japaneseCounting"/>
      <w:lvlText w:val="%1、"/>
      <w:lvlJc w:val="left"/>
      <w:pPr>
        <w:ind w:left="129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369000D2"/>
    <w:multiLevelType w:val="hybridMultilevel"/>
    <w:tmpl w:val="E3BAEF0A"/>
    <w:lvl w:ilvl="0" w:tplc="99F621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E5A"/>
    <w:rsid w:val="00054135"/>
    <w:rsid w:val="000B1C30"/>
    <w:rsid w:val="00126294"/>
    <w:rsid w:val="001278AA"/>
    <w:rsid w:val="00141CFE"/>
    <w:rsid w:val="001646B7"/>
    <w:rsid w:val="00180DF7"/>
    <w:rsid w:val="001B2E5A"/>
    <w:rsid w:val="001E5DD7"/>
    <w:rsid w:val="002039A5"/>
    <w:rsid w:val="002751EE"/>
    <w:rsid w:val="0030284A"/>
    <w:rsid w:val="003304BD"/>
    <w:rsid w:val="00367FE3"/>
    <w:rsid w:val="00390446"/>
    <w:rsid w:val="003A111C"/>
    <w:rsid w:val="003B5ABF"/>
    <w:rsid w:val="003D7BC0"/>
    <w:rsid w:val="00416B2B"/>
    <w:rsid w:val="00446F9C"/>
    <w:rsid w:val="00461533"/>
    <w:rsid w:val="004655A1"/>
    <w:rsid w:val="004D0B91"/>
    <w:rsid w:val="00540F75"/>
    <w:rsid w:val="0066028E"/>
    <w:rsid w:val="007631E3"/>
    <w:rsid w:val="00785D60"/>
    <w:rsid w:val="007944FA"/>
    <w:rsid w:val="007C5585"/>
    <w:rsid w:val="007C6DEA"/>
    <w:rsid w:val="007F4C37"/>
    <w:rsid w:val="0089026F"/>
    <w:rsid w:val="008C06B9"/>
    <w:rsid w:val="008C098B"/>
    <w:rsid w:val="00922265"/>
    <w:rsid w:val="009366EA"/>
    <w:rsid w:val="0099045A"/>
    <w:rsid w:val="009C55F9"/>
    <w:rsid w:val="009F5D59"/>
    <w:rsid w:val="00A178DC"/>
    <w:rsid w:val="00A254E6"/>
    <w:rsid w:val="00A9483E"/>
    <w:rsid w:val="00B1082A"/>
    <w:rsid w:val="00B35DC6"/>
    <w:rsid w:val="00BB6018"/>
    <w:rsid w:val="00BC03DA"/>
    <w:rsid w:val="00BD5759"/>
    <w:rsid w:val="00C35882"/>
    <w:rsid w:val="00C80F5C"/>
    <w:rsid w:val="00CE34E0"/>
    <w:rsid w:val="00D027AE"/>
    <w:rsid w:val="00D21B91"/>
    <w:rsid w:val="00D47E40"/>
    <w:rsid w:val="00D81003"/>
    <w:rsid w:val="00DA2592"/>
    <w:rsid w:val="00DA560B"/>
    <w:rsid w:val="00DA7926"/>
    <w:rsid w:val="00DB751E"/>
    <w:rsid w:val="00E93E5E"/>
    <w:rsid w:val="00ED30AE"/>
    <w:rsid w:val="00F7035D"/>
    <w:rsid w:val="00F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65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646B7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164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366E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366E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36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66E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6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66EA"/>
    <w:rPr>
      <w:sz w:val="18"/>
      <w:szCs w:val="18"/>
    </w:rPr>
  </w:style>
  <w:style w:type="paragraph" w:styleId="a9">
    <w:name w:val="No Spacing"/>
    <w:link w:val="Char2"/>
    <w:uiPriority w:val="1"/>
    <w:qFormat/>
    <w:rsid w:val="009366EA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9366EA"/>
    <w:rPr>
      <w:kern w:val="0"/>
      <w:sz w:val="22"/>
    </w:rPr>
  </w:style>
  <w:style w:type="table" w:styleId="aa">
    <w:name w:val="Table Grid"/>
    <w:basedOn w:val="a1"/>
    <w:uiPriority w:val="59"/>
    <w:rsid w:val="00BB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826">
          <w:marLeft w:val="8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94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8193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2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45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751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5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</dc:creator>
  <cp:lastModifiedBy>weiwei</cp:lastModifiedBy>
  <cp:revision>13</cp:revision>
  <cp:lastPrinted>2021-09-10T07:26:00Z</cp:lastPrinted>
  <dcterms:created xsi:type="dcterms:W3CDTF">2019-09-06T09:17:00Z</dcterms:created>
  <dcterms:modified xsi:type="dcterms:W3CDTF">2021-09-14T07:12:00Z</dcterms:modified>
</cp:coreProperties>
</file>